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26"/>
        <w:gridCol w:w="2693"/>
        <w:gridCol w:w="2552"/>
        <w:gridCol w:w="2835"/>
      </w:tblGrid>
      <w:tr w:rsidR="00F77270" w:rsidRPr="00C33E0A" w:rsidTr="00B03184">
        <w:tc>
          <w:tcPr>
            <w:tcW w:w="1526" w:type="dxa"/>
            <w:shd w:val="clear" w:color="auto" w:fill="00B050"/>
          </w:tcPr>
          <w:p w:rsidR="00F77270" w:rsidRPr="00CC6D1F" w:rsidRDefault="00D072C0" w:rsidP="00F772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072C0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pict>
                <v:rect id="_x0000_s1029" style="position:absolute;margin-left:516.75pt;margin-top:62.8pt;width:295.25pt;height:188.45pt;flip:x;z-index:251658240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      <v:shadow color="#f79646 [3209]" opacity=".5" offset="-15pt,0" offset2="-18pt,12pt"/>
                  <v:textbox style="mso-next-textbox:#_x0000_s1029" inset="3.6mm,3.6mm,3.6mm,3.6mm">
                    <w:txbxContent>
                      <w:p w:rsidR="00B11D89" w:rsidRPr="0019136B" w:rsidRDefault="00B11D89" w:rsidP="00B11D8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szCs w:val="22"/>
                            <w:u w:val="single"/>
                          </w:rPr>
                        </w:pPr>
                        <w:r w:rsidRPr="0019136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szCs w:val="22"/>
                            <w:u w:val="single"/>
                          </w:rPr>
                          <w:t>HCV Medication Posology</w:t>
                        </w:r>
                      </w:p>
                      <w:p w:rsidR="00B11D89" w:rsidRPr="00B11D89" w:rsidRDefault="00B11D89" w:rsidP="00B11D89">
                        <w:pPr>
                          <w:pStyle w:val="Heading1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1D89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Epclusa</w:t>
                        </w:r>
                        <w:r w:rsidRPr="00B11D89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vertAlign w:val="superscript"/>
                          </w:rPr>
                          <w:t>®</w:t>
                        </w:r>
                        <w:r w:rsidRPr="00B11D89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B11D89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(Sofosbuvir 400mg and Velpatasvir 100mg)</w:t>
                        </w:r>
                        <w:r w:rsidRPr="00B11D89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1tablet daily</w:t>
                        </w:r>
                      </w:p>
                      <w:p w:rsidR="00B11D89" w:rsidRPr="00B11D89" w:rsidRDefault="00B11D89" w:rsidP="00B11D8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Harvoni</w:t>
                        </w:r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  <w:vertAlign w:val="superscript"/>
                          </w:rPr>
                          <w:t>®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Sofosbuvir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400mg and</w:t>
                        </w:r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Ledipasvir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90mg) 1 tablet daily </w:t>
                        </w:r>
                      </w:p>
                      <w:p w:rsidR="00B11D89" w:rsidRPr="00B11D89" w:rsidRDefault="00B11D89" w:rsidP="00B11D8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B11D89" w:rsidRPr="00B11D89" w:rsidRDefault="00B11D89" w:rsidP="00B11D8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Maviret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  <w:vertAlign w:val="superscript"/>
                          </w:rPr>
                          <w:t xml:space="preserve">® </w:t>
                        </w:r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Glecaprevir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 xml:space="preserve"> 100mg and </w:t>
                        </w: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Pibrentasvir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 xml:space="preserve"> 40mg) 3 tablets daily</w:t>
                        </w:r>
                      </w:p>
                      <w:p w:rsidR="00B11D89" w:rsidRPr="00B11D89" w:rsidRDefault="00B11D89" w:rsidP="00B11D8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B11D89" w:rsidRPr="00B11D89" w:rsidRDefault="00B11D89" w:rsidP="00B11D89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Vosevi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  <w:vertAlign w:val="superscript"/>
                          </w:rPr>
                          <w:t>®</w:t>
                        </w:r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Sofosbuvir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 xml:space="preserve"> 400mg, </w:t>
                        </w: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Velpatasvir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 xml:space="preserve"> 100mg </w:t>
                        </w: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andvoxilaprevir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 xml:space="preserve"> 100mg)</w:t>
                        </w:r>
                      </w:p>
                      <w:p w:rsidR="00B11D89" w:rsidRPr="00B11D89" w:rsidRDefault="00B11D89" w:rsidP="00B11D89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Arial,Bold" w:hAnsi="Arial,Bold" w:cs="Arial,Bold"/>
                            <w:b/>
                            <w:bCs/>
                            <w:color w:val="FFFFFF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:rsidR="00B11D89" w:rsidRPr="00B11D89" w:rsidRDefault="00B11D89" w:rsidP="00B11D89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</w:pPr>
                        <w:proofErr w:type="spellStart"/>
                        <w:r w:rsidRPr="00B11D89">
                          <w:rPr>
                            <w:rFonts w:ascii="Arial,Bold" w:hAnsi="Arial,Bold" w:cs="Arial,Bold"/>
                            <w:b/>
                            <w:bCs/>
                            <w:color w:val="FFFFFF"/>
                            <w:sz w:val="16"/>
                            <w:szCs w:val="16"/>
                            <w:lang w:eastAsia="en-GB"/>
                          </w:rPr>
                          <w:t>Zepatier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  <w:vertAlign w:val="superscript"/>
                          </w:rPr>
                          <w:t>®</w:t>
                        </w:r>
                        <w:r w:rsidRPr="00B11D89">
                          <w:rPr>
                            <w:rFonts w:ascii="Arial,Bold" w:hAnsi="Arial,Bold" w:cs="Arial,Bold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eastAsia="en-GB"/>
                          </w:rPr>
                          <w:t xml:space="preserve">(50 mg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eastAsia="en-GB"/>
                          </w:rPr>
                          <w:t>E</w:t>
                        </w:r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eastAsia="en-GB"/>
                          </w:rPr>
                          <w:t>lbasvir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eastAsia="en-GB"/>
                          </w:rPr>
                          <w:t>and 100 mg G</w:t>
                        </w:r>
                        <w:r w:rsidRPr="00B11D89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  <w:lang w:eastAsia="en-GB"/>
                          </w:rPr>
                          <w:t>razoprevir)</w:t>
                        </w:r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1 tablet daily</w:t>
                        </w:r>
                      </w:p>
                      <w:p w:rsidR="00B11D89" w:rsidRPr="00B11D89" w:rsidRDefault="00B11D89" w:rsidP="00B11D89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:rsidR="00B11D89" w:rsidRPr="00B11D89" w:rsidRDefault="00B11D89" w:rsidP="00B11D89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Arial,Bold" w:hAnsi="Arial,Bold" w:cs="Arial,Bold"/>
                            <w:b/>
                            <w:bCs/>
                            <w:color w:val="FFFFFF"/>
                            <w:sz w:val="16"/>
                            <w:szCs w:val="16"/>
                            <w:lang w:eastAsia="en-GB"/>
                          </w:rPr>
                        </w:pPr>
                      </w:p>
                      <w:p w:rsidR="00B11D89" w:rsidRPr="00B11D89" w:rsidRDefault="00B11D89" w:rsidP="00B11D8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Copegus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  <w:vertAlign w:val="superscript"/>
                          </w:rPr>
                          <w:t>®</w:t>
                        </w:r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Ribavirin</w:t>
                        </w:r>
                        <w:proofErr w:type="spellEnd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200mg Tablets) </w:t>
                        </w:r>
                      </w:p>
                      <w:p w:rsidR="00B11D89" w:rsidRPr="00B11D89" w:rsidRDefault="00B11D89" w:rsidP="00B11D8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&lt;65Kg 400mg twice daily, 65-85Kg 400mg mane + 600mg </w:t>
                        </w:r>
                        <w:proofErr w:type="spellStart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Nocte</w:t>
                        </w:r>
                        <w:proofErr w:type="spellEnd"/>
                        <w:proofErr w:type="gramStart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,  &gt;</w:t>
                        </w:r>
                        <w:proofErr w:type="gramEnd"/>
                        <w:r w:rsidRPr="00B11D8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85Kg 600mg Twice daily</w:t>
                        </w:r>
                      </w:p>
                      <w:p w:rsidR="00B11D89" w:rsidRPr="00B11D89" w:rsidRDefault="00B11D89" w:rsidP="00B11D89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  <w:r w:rsidR="00F77270"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Genotype</w:t>
            </w:r>
            <w:r w:rsid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1</w:t>
            </w:r>
          </w:p>
          <w:p w:rsidR="00F77270" w:rsidRPr="00CC6D1F" w:rsidRDefault="00F77270" w:rsidP="00F772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  <w:shd w:val="clear" w:color="auto" w:fill="00B050"/>
          </w:tcPr>
          <w:p w:rsidR="00F77270" w:rsidRPr="00CC6D1F" w:rsidRDefault="00F77270" w:rsidP="00F772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 or minimal fibrosis</w:t>
            </w:r>
          </w:p>
          <w:p w:rsidR="00F77270" w:rsidRPr="00CC6D1F" w:rsidRDefault="00F77270" w:rsidP="00F77270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less than 7</w:t>
            </w:r>
          </w:p>
        </w:tc>
        <w:tc>
          <w:tcPr>
            <w:tcW w:w="2552" w:type="dxa"/>
            <w:shd w:val="clear" w:color="auto" w:fill="00B050"/>
          </w:tcPr>
          <w:p w:rsidR="00F77270" w:rsidRPr="00CC6D1F" w:rsidRDefault="00F77270" w:rsidP="00F772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Moderate to severe fibrosis</w:t>
            </w:r>
          </w:p>
          <w:p w:rsidR="00F77270" w:rsidRPr="00CC6D1F" w:rsidRDefault="00F77270" w:rsidP="00F77270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more than 7 and less than 11</w:t>
            </w:r>
          </w:p>
        </w:tc>
        <w:tc>
          <w:tcPr>
            <w:tcW w:w="2835" w:type="dxa"/>
            <w:shd w:val="clear" w:color="auto" w:fill="00B050"/>
          </w:tcPr>
          <w:p w:rsidR="00F67086" w:rsidRPr="00CC6D1F" w:rsidRDefault="00F77270" w:rsidP="00F772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Known cirrhosis</w:t>
            </w:r>
          </w:p>
          <w:p w:rsidR="00F77270" w:rsidRPr="00CC6D1F" w:rsidRDefault="00F77270" w:rsidP="00F772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more than 11</w:t>
            </w:r>
          </w:p>
        </w:tc>
      </w:tr>
      <w:tr w:rsidR="00905D24" w:rsidRPr="00C33E0A" w:rsidTr="00B03184">
        <w:tc>
          <w:tcPr>
            <w:tcW w:w="1526" w:type="dxa"/>
          </w:tcPr>
          <w:p w:rsidR="00905D24" w:rsidRPr="00C33E0A" w:rsidRDefault="005E17FF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G1</w:t>
            </w:r>
            <w:r w:rsidR="00D85918">
              <w:rPr>
                <w:rFonts w:ascii="Arial" w:hAnsi="Arial" w:cs="Arial"/>
                <w:b/>
                <w:sz w:val="16"/>
                <w:szCs w:val="16"/>
              </w:rPr>
              <w:t>a and 1b</w:t>
            </w:r>
          </w:p>
          <w:p w:rsidR="00905D24" w:rsidRPr="00C33E0A" w:rsidRDefault="00905D24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3E0A">
              <w:rPr>
                <w:rFonts w:ascii="Arial" w:hAnsi="Arial" w:cs="Arial"/>
                <w:b/>
                <w:sz w:val="16"/>
                <w:szCs w:val="16"/>
              </w:rPr>
              <w:t>Treatment naive</w:t>
            </w:r>
          </w:p>
        </w:tc>
        <w:tc>
          <w:tcPr>
            <w:tcW w:w="2693" w:type="dxa"/>
            <w:vAlign w:val="center"/>
          </w:tcPr>
          <w:p w:rsidR="00520251" w:rsidRDefault="00520251" w:rsidP="00710BC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2807" w:rsidRPr="00B11D89" w:rsidRDefault="000B2807" w:rsidP="000B2807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proofErr w:type="spellStart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8 weeks</w:t>
            </w:r>
          </w:p>
          <w:p w:rsidR="00905D24" w:rsidRDefault="00905D24" w:rsidP="000B2807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  <w:r w:rsidRPr="00F6708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Harvoni </w:t>
            </w:r>
            <w:r w:rsidRPr="0020259C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>8 weeks</w:t>
            </w:r>
          </w:p>
          <w:p w:rsidR="000B2807" w:rsidRPr="00710BCD" w:rsidRDefault="000B2807" w:rsidP="000B280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>Zepatier</w:t>
            </w:r>
            <w:proofErr w:type="spellEnd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E28D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12 weeks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*</w:t>
            </w:r>
          </w:p>
          <w:p w:rsidR="000B2807" w:rsidRPr="000B2807" w:rsidRDefault="000B2807" w:rsidP="000B2807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05D24" w:rsidRPr="00F67086" w:rsidRDefault="00905D24" w:rsidP="00710B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B2807" w:rsidRPr="00B11D89" w:rsidRDefault="000B2807" w:rsidP="000B2807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proofErr w:type="spellStart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 xml:space="preserve">8 </w:t>
            </w:r>
            <w:r w:rsidR="005E17FF"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 xml:space="preserve">to 12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weeks</w:t>
            </w:r>
          </w:p>
          <w:p w:rsidR="007712A6" w:rsidRDefault="00905D24" w:rsidP="00710BC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  <w:r w:rsidRPr="00F6708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Harvoni </w:t>
            </w:r>
            <w:r w:rsidR="007712A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7712A6" w:rsidRPr="007712A6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 xml:space="preserve">8 to </w:t>
            </w:r>
            <w:r w:rsidRPr="007712A6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>12 weeks</w:t>
            </w:r>
            <w:r w:rsidR="007712A6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5E17FF" w:rsidRPr="005E17FF" w:rsidRDefault="007712A6" w:rsidP="005E17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17FF">
              <w:rPr>
                <w:rFonts w:ascii="Arial" w:hAnsi="Arial" w:cs="Arial"/>
                <w:color w:val="FF0000"/>
                <w:sz w:val="16"/>
                <w:szCs w:val="16"/>
              </w:rPr>
              <w:t>(discuss at MDT)</w:t>
            </w:r>
          </w:p>
          <w:p w:rsidR="005E17FF" w:rsidRPr="00710BCD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>Zepatier</w:t>
            </w:r>
            <w:proofErr w:type="spellEnd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E28D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12 weeks*</w:t>
            </w:r>
          </w:p>
          <w:p w:rsidR="00905D24" w:rsidRDefault="00905D24" w:rsidP="00710BCD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:rsidR="00905D24" w:rsidRPr="00F67086" w:rsidRDefault="00905D24" w:rsidP="00710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17FF" w:rsidRPr="00B11D89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12 weeks</w:t>
            </w:r>
          </w:p>
          <w:p w:rsidR="005E17FF" w:rsidRPr="005E17FF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5E17FF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Harvoni </w:t>
            </w:r>
            <w:r w:rsidRPr="005E17FF">
              <w:rPr>
                <w:rFonts w:ascii="Arial" w:hAnsi="Arial" w:cs="Arial"/>
                <w:b/>
                <w:color w:val="4F81BD" w:themeColor="accent1"/>
                <w:sz w:val="16"/>
                <w:szCs w:val="16"/>
                <w:u w:val="single"/>
              </w:rPr>
              <w:t>12 weeks</w:t>
            </w:r>
            <w:r w:rsidRPr="005E17FF">
              <w:rPr>
                <w:rFonts w:ascii="Arial" w:hAnsi="Arial" w:cs="Arial"/>
                <w:color w:val="4F81BD" w:themeColor="accent1"/>
              </w:rPr>
              <w:t>+/-</w:t>
            </w:r>
            <w:r w:rsidRPr="005E17FF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weight based Ribavirin *</w:t>
            </w:r>
          </w:p>
          <w:p w:rsidR="00710BCD" w:rsidRDefault="00710BCD" w:rsidP="00710BC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>Zepatier</w:t>
            </w:r>
            <w:proofErr w:type="spellEnd"/>
            <w:r w:rsidR="00883D8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12 weeks </w:t>
            </w:r>
          </w:p>
          <w:p w:rsidR="005E17FF" w:rsidRPr="00C33E0A" w:rsidRDefault="005E17FF" w:rsidP="00710BC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0251" w:rsidRPr="00C33E0A" w:rsidRDefault="00520251" w:rsidP="0052025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(discuss at MDT if  platelets &lt;100, albumin &lt;30 or other signs of decompensation present)</w:t>
            </w:r>
          </w:p>
          <w:p w:rsidR="00905D24" w:rsidRPr="00C33E0A" w:rsidRDefault="00905D24" w:rsidP="00710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0BCD" w:rsidRPr="00520251" w:rsidRDefault="00710BCD" w:rsidP="00520251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905D24" w:rsidRPr="00C33E0A" w:rsidTr="00B03184">
        <w:trPr>
          <w:trHeight w:val="1202"/>
        </w:trPr>
        <w:tc>
          <w:tcPr>
            <w:tcW w:w="1526" w:type="dxa"/>
          </w:tcPr>
          <w:p w:rsidR="00905D24" w:rsidRPr="00C33E0A" w:rsidRDefault="00905D24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C33E0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85918">
              <w:rPr>
                <w:rFonts w:ascii="Arial" w:hAnsi="Arial" w:cs="Arial"/>
                <w:b/>
                <w:sz w:val="16"/>
                <w:szCs w:val="16"/>
              </w:rPr>
              <w:t xml:space="preserve"> and 1B</w:t>
            </w:r>
          </w:p>
          <w:p w:rsidR="00905D24" w:rsidRDefault="00905D24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3E0A">
              <w:rPr>
                <w:rFonts w:ascii="Arial" w:hAnsi="Arial" w:cs="Arial"/>
                <w:b/>
                <w:sz w:val="16"/>
                <w:szCs w:val="16"/>
              </w:rPr>
              <w:t>Treatment experienced</w:t>
            </w:r>
          </w:p>
          <w:p w:rsidR="007712A6" w:rsidRPr="00C33E0A" w:rsidRDefault="007712A6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(DAA naive)</w:t>
            </w:r>
          </w:p>
          <w:p w:rsidR="00905D24" w:rsidRPr="00C33E0A" w:rsidRDefault="00905D24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5D24" w:rsidRPr="00C33E0A" w:rsidRDefault="00905D24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5D24" w:rsidRPr="00C33E0A" w:rsidRDefault="00905D24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B2807" w:rsidRDefault="000B2807" w:rsidP="000B2807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12</w:t>
            </w:r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weeks</w:t>
            </w:r>
          </w:p>
          <w:p w:rsidR="000B2807" w:rsidRDefault="000B2807" w:rsidP="000B2807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  <w:r w:rsidRPr="00F6708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Harvoni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>12</w:t>
            </w:r>
            <w:r w:rsidRPr="0020259C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 xml:space="preserve"> weeks</w:t>
            </w:r>
          </w:p>
          <w:p w:rsidR="00710BCD" w:rsidRPr="00710BCD" w:rsidRDefault="00710BCD" w:rsidP="00710BC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>Zepatier</w:t>
            </w:r>
            <w:proofErr w:type="spellEnd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E28D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12 weeks</w:t>
            </w:r>
            <w:r w:rsidR="00520251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:rsidR="00905D24" w:rsidRPr="00C33E0A" w:rsidRDefault="00905D24" w:rsidP="005202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D24" w:rsidRPr="00C33E0A" w:rsidRDefault="00905D24" w:rsidP="00710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05D24" w:rsidRPr="00C33E0A" w:rsidRDefault="00905D24" w:rsidP="00710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05D24" w:rsidRPr="00C33E0A" w:rsidRDefault="00905D24" w:rsidP="00710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251" w:rsidRPr="00C33E0A" w:rsidTr="00520251">
        <w:tc>
          <w:tcPr>
            <w:tcW w:w="9606" w:type="dxa"/>
            <w:gridSpan w:val="4"/>
          </w:tcPr>
          <w:p w:rsidR="00520251" w:rsidRPr="00520251" w:rsidRDefault="00520251" w:rsidP="00520251">
            <w:pPr>
              <w:pStyle w:val="ListParagraph"/>
              <w:snapToGri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*If viral load &gt;800,000 test for NS5a RAVs and if present give 16 weeks Zepatier and Weight based ribavir</w:t>
            </w:r>
            <w:r w:rsidR="00A25B22">
              <w:rPr>
                <w:rFonts w:ascii="Arial" w:hAnsi="Arial" w:cs="Arial"/>
                <w:b/>
                <w:color w:val="FF0000"/>
                <w:sz w:val="16"/>
                <w:szCs w:val="16"/>
              </w:rPr>
              <w:t>in</w:t>
            </w:r>
          </w:p>
        </w:tc>
      </w:tr>
      <w:tr w:rsidR="00905D24" w:rsidRPr="00C33E0A" w:rsidTr="00E43354">
        <w:tc>
          <w:tcPr>
            <w:tcW w:w="1526" w:type="dxa"/>
          </w:tcPr>
          <w:p w:rsidR="00905D24" w:rsidRPr="00C33E0A" w:rsidRDefault="00905D24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G1</w:t>
            </w:r>
            <w:r w:rsidRPr="00C33E0A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</w:p>
          <w:p w:rsidR="00905D24" w:rsidRPr="00C33E0A" w:rsidRDefault="00905D24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905D24" w:rsidRPr="005E17FF" w:rsidRDefault="005E17FF" w:rsidP="005E17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17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If using </w:t>
            </w:r>
            <w:proofErr w:type="spellStart"/>
            <w:r w:rsidR="00710BCD" w:rsidRPr="005E17FF">
              <w:rPr>
                <w:rFonts w:ascii="Arial" w:hAnsi="Arial" w:cs="Arial"/>
                <w:b/>
                <w:color w:val="FF0000"/>
                <w:sz w:val="16"/>
                <w:szCs w:val="16"/>
              </w:rPr>
              <w:t>Zepatier</w:t>
            </w:r>
            <w:proofErr w:type="spellEnd"/>
            <w:r w:rsidR="00710BCD" w:rsidRPr="005E17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12 weeks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 w:rsidRPr="005E17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no RAV testing</w:t>
            </w:r>
          </w:p>
        </w:tc>
      </w:tr>
    </w:tbl>
    <w:p w:rsidR="006B3AA4" w:rsidRPr="00E43354" w:rsidRDefault="006B3AA4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693"/>
        <w:gridCol w:w="2693"/>
        <w:gridCol w:w="2694"/>
      </w:tblGrid>
      <w:tr w:rsidR="00905D24" w:rsidRPr="00C33E0A" w:rsidTr="00106A74">
        <w:tc>
          <w:tcPr>
            <w:tcW w:w="1526" w:type="dxa"/>
            <w:shd w:val="clear" w:color="auto" w:fill="F79646" w:themeFill="accent6"/>
          </w:tcPr>
          <w:p w:rsidR="00905D24" w:rsidRPr="00CC6D1F" w:rsidRDefault="00905D24" w:rsidP="00905D2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Genotype</w:t>
            </w:r>
            <w:r w:rsidR="00106A7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2</w:t>
            </w:r>
          </w:p>
          <w:p w:rsidR="00905D24" w:rsidRPr="00CC6D1F" w:rsidRDefault="00905D24" w:rsidP="00905D2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  <w:shd w:val="clear" w:color="auto" w:fill="F79646" w:themeFill="accent6"/>
          </w:tcPr>
          <w:p w:rsidR="00905D24" w:rsidRPr="00CC6D1F" w:rsidRDefault="00905D24" w:rsidP="00905D2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 or minimal fibrosis</w:t>
            </w:r>
          </w:p>
          <w:p w:rsidR="00905D24" w:rsidRPr="00CC6D1F" w:rsidRDefault="00905D24" w:rsidP="00905D24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less than 7</w:t>
            </w:r>
          </w:p>
        </w:tc>
        <w:tc>
          <w:tcPr>
            <w:tcW w:w="2693" w:type="dxa"/>
            <w:shd w:val="clear" w:color="auto" w:fill="F79646" w:themeFill="accent6"/>
          </w:tcPr>
          <w:p w:rsidR="00905D24" w:rsidRPr="00CC6D1F" w:rsidRDefault="00905D24" w:rsidP="00905D2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Moderate to severe fibrosis</w:t>
            </w:r>
          </w:p>
          <w:p w:rsidR="00905D24" w:rsidRPr="00CC6D1F" w:rsidRDefault="00905D24" w:rsidP="00905D24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more than 7 and less than 11</w:t>
            </w:r>
          </w:p>
        </w:tc>
        <w:tc>
          <w:tcPr>
            <w:tcW w:w="2694" w:type="dxa"/>
            <w:shd w:val="clear" w:color="auto" w:fill="F79646" w:themeFill="accent6"/>
          </w:tcPr>
          <w:p w:rsidR="00905D24" w:rsidRPr="00CC6D1F" w:rsidRDefault="00905D24" w:rsidP="00905D2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Known cirrhosis</w:t>
            </w:r>
          </w:p>
          <w:p w:rsidR="00905D24" w:rsidRPr="00CC6D1F" w:rsidRDefault="00905D24" w:rsidP="00905D2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more than 11</w:t>
            </w:r>
          </w:p>
        </w:tc>
      </w:tr>
      <w:tr w:rsidR="00F77270" w:rsidRPr="00C33E0A" w:rsidTr="00905D24">
        <w:tc>
          <w:tcPr>
            <w:tcW w:w="1526" w:type="dxa"/>
          </w:tcPr>
          <w:p w:rsidR="00F77270" w:rsidRPr="00C33E0A" w:rsidRDefault="00106A74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77270" w:rsidRPr="00C33E0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3B76EE" w:rsidRPr="00C33E0A" w:rsidRDefault="00106A74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</w:t>
            </w:r>
          </w:p>
        </w:tc>
        <w:tc>
          <w:tcPr>
            <w:tcW w:w="2693" w:type="dxa"/>
          </w:tcPr>
          <w:p w:rsidR="005E17FF" w:rsidRDefault="00910D84" w:rsidP="005E17FF">
            <w:pPr>
              <w:snapToGrid w:val="0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10D84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5E17FF" w:rsidRPr="00B11D89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proofErr w:type="spellStart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8 weeks</w:t>
            </w:r>
          </w:p>
          <w:p w:rsidR="005E17FF" w:rsidRDefault="005E17FF" w:rsidP="005E17FF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</w:pPr>
            <w:r w:rsidRPr="00520251"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  <w:t xml:space="preserve">Epclusa </w:t>
            </w:r>
            <w:r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>12</w:t>
            </w:r>
            <w:r w:rsidRPr="00BE28DB"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 xml:space="preserve"> weeks</w:t>
            </w:r>
          </w:p>
          <w:p w:rsidR="003B76EE" w:rsidRPr="00910D84" w:rsidRDefault="003B76EE" w:rsidP="00F7727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693" w:type="dxa"/>
          </w:tcPr>
          <w:p w:rsidR="005E17FF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5E17FF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spellStart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8 to 12 weeks</w:t>
            </w:r>
          </w:p>
          <w:p w:rsidR="005E17FF" w:rsidRPr="005E17FF" w:rsidRDefault="005E17FF" w:rsidP="005E17FF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17FF">
              <w:rPr>
                <w:rFonts w:ascii="Arial" w:hAnsi="Arial" w:cs="Arial"/>
                <w:color w:val="FF0000"/>
                <w:sz w:val="16"/>
                <w:szCs w:val="16"/>
              </w:rPr>
              <w:t>(discuss at MDT)</w:t>
            </w:r>
          </w:p>
          <w:p w:rsidR="003B76EE" w:rsidRPr="005E17FF" w:rsidRDefault="005E17FF" w:rsidP="005E17FF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</w:pPr>
            <w:r w:rsidRPr="00520251"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  <w:t xml:space="preserve">Epclusa </w:t>
            </w:r>
            <w:r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>12</w:t>
            </w:r>
            <w:r w:rsidRPr="00BE28DB"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 xml:space="preserve"> weeks</w:t>
            </w:r>
          </w:p>
        </w:tc>
        <w:tc>
          <w:tcPr>
            <w:tcW w:w="2694" w:type="dxa"/>
          </w:tcPr>
          <w:p w:rsidR="005E17FF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5E17FF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12 weeks</w:t>
            </w:r>
          </w:p>
          <w:p w:rsidR="00931C9E" w:rsidRPr="005E17FF" w:rsidRDefault="005E17FF" w:rsidP="005E17FF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</w:pPr>
            <w:r w:rsidRPr="00520251"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  <w:t xml:space="preserve">Epclusa </w:t>
            </w:r>
            <w:r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>12</w:t>
            </w:r>
            <w:r w:rsidRPr="00BE28DB"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 xml:space="preserve"> weeks</w:t>
            </w:r>
          </w:p>
          <w:p w:rsidR="00F77270" w:rsidRPr="00910D84" w:rsidRDefault="00F77270" w:rsidP="00F7727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</w:tr>
    </w:tbl>
    <w:p w:rsidR="00E43354" w:rsidRPr="00E43354" w:rsidRDefault="00E43354">
      <w:pPr>
        <w:rPr>
          <w:sz w:val="6"/>
          <w:szCs w:val="6"/>
        </w:rPr>
      </w:pPr>
    </w:p>
    <w:tbl>
      <w:tblPr>
        <w:tblStyle w:val="TableGrid"/>
        <w:tblW w:w="15984" w:type="dxa"/>
        <w:tblLayout w:type="fixed"/>
        <w:tblLook w:val="04A0"/>
      </w:tblPr>
      <w:tblGrid>
        <w:gridCol w:w="1526"/>
        <w:gridCol w:w="3118"/>
        <w:gridCol w:w="2268"/>
        <w:gridCol w:w="2694"/>
        <w:gridCol w:w="992"/>
        <w:gridCol w:w="1701"/>
        <w:gridCol w:w="1984"/>
        <w:gridCol w:w="1701"/>
      </w:tblGrid>
      <w:tr w:rsidR="00E43354" w:rsidRPr="00C33E0A" w:rsidTr="00AA03B0">
        <w:trPr>
          <w:trHeight w:val="511"/>
        </w:trPr>
        <w:tc>
          <w:tcPr>
            <w:tcW w:w="1526" w:type="dxa"/>
            <w:shd w:val="clear" w:color="auto" w:fill="7030A0"/>
          </w:tcPr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Genotype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3</w:t>
            </w:r>
          </w:p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118" w:type="dxa"/>
            <w:shd w:val="clear" w:color="auto" w:fill="7030A0"/>
          </w:tcPr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 or minimal fibrosis</w:t>
            </w:r>
          </w:p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less than 7</w:t>
            </w:r>
          </w:p>
        </w:tc>
        <w:tc>
          <w:tcPr>
            <w:tcW w:w="2268" w:type="dxa"/>
            <w:shd w:val="clear" w:color="auto" w:fill="7030A0"/>
          </w:tcPr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Moderate to severe fibrosis</w:t>
            </w:r>
          </w:p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more than 7 and less than 11</w:t>
            </w:r>
          </w:p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7030A0"/>
          </w:tcPr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Known cirrhosis</w:t>
            </w:r>
          </w:p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more than 11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0000"/>
          </w:tcPr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Genotype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E43354" w:rsidRPr="00E43354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4335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 / 5 / 6</w:t>
            </w:r>
          </w:p>
        </w:tc>
        <w:tc>
          <w:tcPr>
            <w:tcW w:w="1701" w:type="dxa"/>
            <w:shd w:val="clear" w:color="auto" w:fill="FF0000"/>
          </w:tcPr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 or minimal fibrosis</w:t>
            </w:r>
          </w:p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less than 7</w:t>
            </w:r>
          </w:p>
        </w:tc>
        <w:tc>
          <w:tcPr>
            <w:tcW w:w="1984" w:type="dxa"/>
            <w:shd w:val="clear" w:color="auto" w:fill="FF0000"/>
          </w:tcPr>
          <w:p w:rsidR="00E43354" w:rsidRPr="00E047DA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Moderate to severe fibrosis</w:t>
            </w:r>
            <w:r w:rsidR="00E047D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more than 7 and less than 11</w:t>
            </w:r>
          </w:p>
        </w:tc>
        <w:tc>
          <w:tcPr>
            <w:tcW w:w="1701" w:type="dxa"/>
            <w:shd w:val="clear" w:color="auto" w:fill="FF0000"/>
          </w:tcPr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Known cirrhosis</w:t>
            </w:r>
          </w:p>
          <w:p w:rsidR="00E43354" w:rsidRPr="00CC6D1F" w:rsidRDefault="00E43354" w:rsidP="004F737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6D1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Fibroscan more than 11</w:t>
            </w:r>
          </w:p>
        </w:tc>
      </w:tr>
      <w:tr w:rsidR="005E17FF" w:rsidRPr="00C33E0A" w:rsidTr="005E17FF">
        <w:trPr>
          <w:trHeight w:val="1411"/>
        </w:trPr>
        <w:tc>
          <w:tcPr>
            <w:tcW w:w="1526" w:type="dxa"/>
          </w:tcPr>
          <w:p w:rsidR="005E17FF" w:rsidRPr="00C33E0A" w:rsidRDefault="005E17FF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C33E0A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  <w:p w:rsidR="005E17FF" w:rsidRPr="00C33E0A" w:rsidRDefault="005E17FF" w:rsidP="00F772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3E0A">
              <w:rPr>
                <w:rFonts w:ascii="Arial" w:hAnsi="Arial" w:cs="Arial"/>
                <w:b/>
                <w:sz w:val="16"/>
                <w:szCs w:val="16"/>
              </w:rPr>
              <w:t xml:space="preserve">Treatment naïve </w:t>
            </w:r>
          </w:p>
        </w:tc>
        <w:tc>
          <w:tcPr>
            <w:tcW w:w="3118" w:type="dxa"/>
          </w:tcPr>
          <w:p w:rsidR="005E17FF" w:rsidRDefault="005E17FF" w:rsidP="00E43354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5E17FF" w:rsidRPr="00B11D89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proofErr w:type="spellStart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8 weeks</w:t>
            </w:r>
          </w:p>
          <w:p w:rsidR="005E17FF" w:rsidRDefault="005E17FF" w:rsidP="005E17FF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</w:pPr>
            <w:r w:rsidRPr="00520251"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  <w:t xml:space="preserve">Epclusa </w:t>
            </w:r>
            <w:r w:rsidR="00D21AEF"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>8</w:t>
            </w:r>
            <w:r w:rsidRPr="00BE28DB"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 xml:space="preserve"> weeks</w:t>
            </w:r>
          </w:p>
          <w:p w:rsidR="005E17FF" w:rsidRDefault="005E17FF" w:rsidP="00B031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7FF" w:rsidRPr="00520251" w:rsidRDefault="005E17FF" w:rsidP="007D77F2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E17FF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spellStart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8 to 12 weeks</w:t>
            </w:r>
          </w:p>
          <w:p w:rsidR="005E17FF" w:rsidRDefault="005E17FF" w:rsidP="005E17FF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</w:pPr>
            <w:r w:rsidRPr="00520251"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  <w:t xml:space="preserve">Epclusa </w:t>
            </w:r>
            <w:r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>8</w:t>
            </w:r>
            <w:r w:rsidRPr="00BE28DB"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 xml:space="preserve"> </w:t>
            </w:r>
            <w:r w:rsidR="00D21AEF"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 xml:space="preserve">-12 </w:t>
            </w:r>
            <w:r w:rsidRPr="00BE28DB"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>weeks</w:t>
            </w:r>
          </w:p>
          <w:p w:rsidR="005E17FF" w:rsidRPr="005E17FF" w:rsidRDefault="005E17FF" w:rsidP="005E17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5E17FF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(discuss at MDT)</w:t>
            </w:r>
          </w:p>
          <w:p w:rsidR="005E17FF" w:rsidRPr="00442AD0" w:rsidRDefault="005E17FF" w:rsidP="00B03184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right w:val="double" w:sz="4" w:space="0" w:color="auto"/>
            </w:tcBorders>
            <w:vAlign w:val="center"/>
          </w:tcPr>
          <w:p w:rsidR="005E17FF" w:rsidRPr="00B11D89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12 weeks</w:t>
            </w:r>
          </w:p>
          <w:p w:rsidR="005E17FF" w:rsidRDefault="005E17FF" w:rsidP="005E17FF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</w:pPr>
            <w:r w:rsidRPr="00520251"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  <w:t>Epclusa</w:t>
            </w:r>
            <w:r>
              <w:rPr>
                <w:rFonts w:ascii="Arial" w:hAnsi="Arial" w:cs="Arial"/>
              </w:rPr>
              <w:t>+/-</w:t>
            </w:r>
            <w:r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  <w:t xml:space="preserve"> weight based ribavirin </w:t>
            </w:r>
            <w:r w:rsidRPr="00BE28DB"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>12 weeks</w:t>
            </w:r>
          </w:p>
          <w:p w:rsidR="005E17FF" w:rsidRPr="00BE28DB" w:rsidRDefault="005E17FF" w:rsidP="00B03184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</w:pPr>
          </w:p>
          <w:p w:rsidR="005E17FF" w:rsidRPr="00C33E0A" w:rsidRDefault="005E17FF" w:rsidP="007D77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(discuss at MDT if  platelets &lt;100, albumin &lt;30 or other signs of decompensation present)</w:t>
            </w:r>
          </w:p>
          <w:p w:rsidR="005E17FF" w:rsidRDefault="005E17FF" w:rsidP="00C16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7FF" w:rsidRPr="00C33E0A" w:rsidRDefault="005E17FF" w:rsidP="005E17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5E17FF" w:rsidRPr="00C33E0A" w:rsidRDefault="005E17FF" w:rsidP="004F7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C33E0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5E17FF" w:rsidRPr="00C33E0A" w:rsidRDefault="005E17FF" w:rsidP="004F7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</w:t>
            </w:r>
          </w:p>
        </w:tc>
        <w:tc>
          <w:tcPr>
            <w:tcW w:w="1701" w:type="dxa"/>
            <w:vMerge w:val="restart"/>
            <w:vAlign w:val="center"/>
          </w:tcPr>
          <w:p w:rsidR="005E17FF" w:rsidRPr="00B11D89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proofErr w:type="spellStart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8 weeks</w:t>
            </w:r>
          </w:p>
          <w:p w:rsidR="005E17FF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  <w:r w:rsidRPr="00F6708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Harvoni </w:t>
            </w:r>
            <w:r w:rsidRPr="0020259C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>8 weeks</w:t>
            </w:r>
          </w:p>
          <w:p w:rsidR="005E17FF" w:rsidRPr="00710BCD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>Zepatier</w:t>
            </w:r>
            <w:proofErr w:type="spellEnd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E28D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12 weeks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*</w:t>
            </w:r>
          </w:p>
          <w:p w:rsidR="005E17FF" w:rsidRPr="000B2807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E17FF" w:rsidRPr="00F67086" w:rsidRDefault="005E17FF" w:rsidP="005E17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E17FF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proofErr w:type="spellStart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 w:rsidRPr="000B280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8 to 12 weeks</w:t>
            </w:r>
          </w:p>
          <w:p w:rsidR="005E17FF" w:rsidRDefault="005E17FF" w:rsidP="005E17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  <w:r w:rsidRPr="00F6708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Harvoni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Pr="007712A6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>8 to 12 weeks</w:t>
            </w:r>
          </w:p>
          <w:p w:rsidR="005E17FF" w:rsidRPr="005E17FF" w:rsidRDefault="005E17FF" w:rsidP="005E17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17FF">
              <w:rPr>
                <w:rFonts w:ascii="Arial" w:hAnsi="Arial" w:cs="Arial"/>
                <w:color w:val="FF0000"/>
                <w:sz w:val="16"/>
                <w:szCs w:val="16"/>
              </w:rPr>
              <w:t>(discuss at MDT)</w:t>
            </w:r>
          </w:p>
          <w:p w:rsidR="005E17FF" w:rsidRPr="00710BCD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>Zepatier</w:t>
            </w:r>
            <w:proofErr w:type="spellEnd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E28D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12 weeks*</w:t>
            </w:r>
          </w:p>
          <w:p w:rsidR="005E17FF" w:rsidRDefault="005E17FF" w:rsidP="005E17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:rsidR="005E17FF" w:rsidRPr="00F67086" w:rsidRDefault="005E17FF" w:rsidP="005E17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17FF" w:rsidRPr="00B11D89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12 weeks</w:t>
            </w:r>
          </w:p>
          <w:p w:rsidR="005E17FF" w:rsidRPr="005E17FF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5E17FF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Harvoni </w:t>
            </w:r>
            <w:r w:rsidRPr="005E17FF">
              <w:rPr>
                <w:rFonts w:ascii="Arial" w:hAnsi="Arial" w:cs="Arial"/>
                <w:b/>
                <w:color w:val="4F81BD" w:themeColor="accent1"/>
                <w:sz w:val="16"/>
                <w:szCs w:val="16"/>
                <w:u w:val="single"/>
              </w:rPr>
              <w:t>12 weeks</w:t>
            </w:r>
            <w:r w:rsidRPr="005E17FF">
              <w:rPr>
                <w:rFonts w:ascii="Arial" w:hAnsi="Arial" w:cs="Arial"/>
                <w:color w:val="4F81BD" w:themeColor="accent1"/>
              </w:rPr>
              <w:t>+/-</w:t>
            </w:r>
            <w:r w:rsidRPr="005E17FF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weight based Ribavirin *</w:t>
            </w:r>
          </w:p>
          <w:p w:rsidR="005E17FF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10BCD">
              <w:rPr>
                <w:rFonts w:ascii="Arial" w:hAnsi="Arial" w:cs="Arial"/>
                <w:b/>
                <w:color w:val="FF0000"/>
                <w:sz w:val="16"/>
                <w:szCs w:val="16"/>
              </w:rPr>
              <w:t>Zepatier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12 weeks</w:t>
            </w:r>
          </w:p>
          <w:p w:rsidR="005E17FF" w:rsidRPr="00C33E0A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7FF" w:rsidRPr="00C33E0A" w:rsidRDefault="005E17FF" w:rsidP="005E17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(discuss at MDT if  platelets &lt;100, albumin &lt;30 or other signs of decompensation present)</w:t>
            </w:r>
          </w:p>
          <w:p w:rsidR="005E17FF" w:rsidRPr="00C33E0A" w:rsidRDefault="005E17FF" w:rsidP="005E17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7FF" w:rsidRPr="00520251" w:rsidRDefault="005E17FF" w:rsidP="005E17FF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5E17FF" w:rsidRPr="00C33E0A" w:rsidTr="00AA03B0">
        <w:trPr>
          <w:trHeight w:val="848"/>
        </w:trPr>
        <w:tc>
          <w:tcPr>
            <w:tcW w:w="1526" w:type="dxa"/>
          </w:tcPr>
          <w:p w:rsidR="005E17FF" w:rsidRPr="00C33E0A" w:rsidRDefault="005E17FF" w:rsidP="00C160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C33E0A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  <w:p w:rsidR="005E17FF" w:rsidRDefault="005E17FF" w:rsidP="00B031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3E0A">
              <w:rPr>
                <w:rFonts w:ascii="Arial" w:hAnsi="Arial" w:cs="Arial"/>
                <w:b/>
                <w:sz w:val="16"/>
                <w:szCs w:val="16"/>
              </w:rPr>
              <w:t xml:space="preserve">Treatment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failures</w:t>
            </w:r>
          </w:p>
        </w:tc>
        <w:tc>
          <w:tcPr>
            <w:tcW w:w="3118" w:type="dxa"/>
          </w:tcPr>
          <w:p w:rsidR="005E17FF" w:rsidRDefault="005E17FF" w:rsidP="00E4335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E17FF" w:rsidRPr="00B11D89" w:rsidRDefault="005E17FF" w:rsidP="005E17FF">
            <w:pPr>
              <w:snapToGrid w:val="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Maviret</w:t>
            </w:r>
            <w:proofErr w:type="spell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B11D8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16 weeks</w:t>
            </w:r>
          </w:p>
          <w:p w:rsidR="00D21AEF" w:rsidRDefault="00D21AEF" w:rsidP="00D21AEF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</w:pPr>
            <w:r w:rsidRPr="00520251">
              <w:rPr>
                <w:rFonts w:ascii="Arial" w:hAnsi="Arial" w:cs="Arial"/>
                <w:b/>
                <w:color w:val="8064A2" w:themeColor="accent4"/>
                <w:sz w:val="16"/>
                <w:szCs w:val="16"/>
              </w:rPr>
              <w:t xml:space="preserve">Epclusa </w:t>
            </w:r>
            <w:r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>12</w:t>
            </w:r>
            <w:r w:rsidRPr="00BE28DB"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  <w:t xml:space="preserve"> weeks</w:t>
            </w:r>
          </w:p>
          <w:p w:rsidR="005E17FF" w:rsidRPr="00B03184" w:rsidRDefault="005E17FF" w:rsidP="00B03184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/>
          </w:tcPr>
          <w:p w:rsidR="005E17FF" w:rsidRDefault="005E17FF" w:rsidP="00C160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right w:val="double" w:sz="4" w:space="0" w:color="auto"/>
            </w:tcBorders>
          </w:tcPr>
          <w:p w:rsidR="005E17FF" w:rsidRDefault="005E17FF" w:rsidP="00C160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5E17FF" w:rsidRDefault="005E17FF" w:rsidP="004F73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E17FF" w:rsidRPr="00C33E0A" w:rsidRDefault="005E17FF" w:rsidP="004F737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E17FF" w:rsidRPr="00C33E0A" w:rsidRDefault="005E17FF" w:rsidP="004F737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E17FF" w:rsidRPr="00C33E0A" w:rsidRDefault="005E17FF" w:rsidP="004F737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7FF" w:rsidRPr="00C33E0A" w:rsidTr="00AA03B0">
        <w:trPr>
          <w:trHeight w:val="659"/>
        </w:trPr>
        <w:tc>
          <w:tcPr>
            <w:tcW w:w="1526" w:type="dxa"/>
            <w:vAlign w:val="center"/>
          </w:tcPr>
          <w:p w:rsidR="005E17FF" w:rsidRPr="009628E3" w:rsidRDefault="005E17FF" w:rsidP="00B605F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9628E3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DDA Treatment Failure</w:t>
            </w:r>
          </w:p>
        </w:tc>
        <w:tc>
          <w:tcPr>
            <w:tcW w:w="8080" w:type="dxa"/>
            <w:gridSpan w:val="3"/>
            <w:tcBorders>
              <w:right w:val="double" w:sz="4" w:space="0" w:color="auto"/>
            </w:tcBorders>
            <w:vAlign w:val="center"/>
          </w:tcPr>
          <w:p w:rsidR="005E17FF" w:rsidRPr="00B605FA" w:rsidRDefault="005E17FF" w:rsidP="007712A6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605FA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Patients who relapse and don’t achieve an SVR on the above DDA regimens should be reviewed by the MDT for consideration of which regimen would be most suitable.  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 xml:space="preserve">Consider genotypic resistance testing. </w:t>
            </w:r>
            <w:r w:rsidRPr="00B605FA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Choice will depend on measured or predicted resistance based on previous regimen used.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E17FF" w:rsidRPr="002D53D6" w:rsidRDefault="005E17FF" w:rsidP="00B605FA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D53D6">
              <w:rPr>
                <w:rFonts w:ascii="Arial" w:hAnsi="Arial" w:cs="Arial"/>
                <w:b/>
                <w:color w:val="00B050"/>
                <w:sz w:val="16"/>
                <w:szCs w:val="16"/>
              </w:rPr>
              <w:t>G5 / G6</w:t>
            </w:r>
          </w:p>
        </w:tc>
        <w:tc>
          <w:tcPr>
            <w:tcW w:w="5386" w:type="dxa"/>
            <w:gridSpan w:val="3"/>
            <w:vAlign w:val="center"/>
          </w:tcPr>
          <w:p w:rsidR="005E17FF" w:rsidRPr="002D53D6" w:rsidRDefault="005E17FF" w:rsidP="00B605FA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D53D6">
              <w:rPr>
                <w:rFonts w:ascii="Arial" w:hAnsi="Arial" w:cs="Arial"/>
                <w:b/>
                <w:color w:val="00B050"/>
                <w:sz w:val="16"/>
                <w:szCs w:val="16"/>
              </w:rPr>
              <w:t>No evidence available, discuss at MDT</w:t>
            </w:r>
          </w:p>
        </w:tc>
      </w:tr>
      <w:tr w:rsidR="00B11D89" w:rsidRPr="00C33E0A" w:rsidTr="00AA03B0">
        <w:trPr>
          <w:trHeight w:val="659"/>
        </w:trPr>
        <w:tc>
          <w:tcPr>
            <w:tcW w:w="1526" w:type="dxa"/>
            <w:vAlign w:val="center"/>
          </w:tcPr>
          <w:p w:rsidR="00B11D89" w:rsidRPr="009628E3" w:rsidRDefault="00B11D89" w:rsidP="002D762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All genotypes</w:t>
            </w:r>
          </w:p>
        </w:tc>
        <w:tc>
          <w:tcPr>
            <w:tcW w:w="8080" w:type="dxa"/>
            <w:gridSpan w:val="3"/>
            <w:tcBorders>
              <w:right w:val="double" w:sz="4" w:space="0" w:color="auto"/>
            </w:tcBorders>
            <w:vAlign w:val="center"/>
          </w:tcPr>
          <w:p w:rsidR="00B11D89" w:rsidRPr="00A653FB" w:rsidRDefault="00B11D89" w:rsidP="002D762A">
            <w:pP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u w:val="single"/>
              </w:rPr>
            </w:pPr>
            <w:proofErr w:type="spellStart"/>
            <w:r w:rsidRPr="00A653FB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u w:val="single"/>
              </w:rPr>
              <w:t>Vosevi</w:t>
            </w:r>
            <w:proofErr w:type="spellEnd"/>
            <w:r w:rsidRPr="00A653FB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u w:val="single"/>
              </w:rPr>
              <w:t xml:space="preserve"> 12 weeks</w:t>
            </w: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B11D89" w:rsidRPr="002D53D6" w:rsidRDefault="00B11D89" w:rsidP="00B605FA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B11D89" w:rsidRPr="002D53D6" w:rsidRDefault="00B11D89" w:rsidP="00B605FA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</w:tbl>
    <w:p w:rsidR="00580A6F" w:rsidRDefault="00580A6F" w:rsidP="00C160BC"/>
    <w:sectPr w:rsidR="00580A6F" w:rsidSect="00962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FF" w:rsidRDefault="005E17FF" w:rsidP="00CA6074">
      <w:r>
        <w:separator/>
      </w:r>
    </w:p>
  </w:endnote>
  <w:endnote w:type="continuationSeparator" w:id="0">
    <w:p w:rsidR="005E17FF" w:rsidRDefault="005E17FF" w:rsidP="00CA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DE" w:rsidRDefault="000143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FF" w:rsidRPr="004D4367" w:rsidRDefault="005E17FF" w:rsidP="004D4367">
    <w:pPr>
      <w:pStyle w:val="Footer"/>
      <w:jc w:val="right"/>
      <w:rPr>
        <w:rFonts w:ascii="Arial" w:hAnsi="Arial" w:cs="Arial"/>
        <w:b/>
      </w:rPr>
    </w:pPr>
    <w:r w:rsidRPr="004D4367">
      <w:rPr>
        <w:rFonts w:ascii="Arial" w:hAnsi="Arial" w:cs="Arial"/>
        <w:b/>
      </w:rPr>
      <w:t>Prepared: June 2016</w:t>
    </w:r>
    <w:r>
      <w:rPr>
        <w:rFonts w:ascii="Arial" w:hAnsi="Arial" w:cs="Arial"/>
        <w:b/>
      </w:rPr>
      <w:t xml:space="preserve">, updated </w:t>
    </w:r>
    <w:r w:rsidR="00B11D89">
      <w:rPr>
        <w:rFonts w:ascii="Arial" w:hAnsi="Arial" w:cs="Arial"/>
        <w:b/>
      </w:rPr>
      <w:t>June 18</w:t>
    </w:r>
  </w:p>
  <w:p w:rsidR="005E17FF" w:rsidRDefault="005E17FF" w:rsidP="004D4367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DE" w:rsidRDefault="00014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FF" w:rsidRDefault="005E17FF" w:rsidP="00CA6074">
      <w:r>
        <w:separator/>
      </w:r>
    </w:p>
  </w:footnote>
  <w:footnote w:type="continuationSeparator" w:id="0">
    <w:p w:rsidR="005E17FF" w:rsidRDefault="005E17FF" w:rsidP="00CA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DE" w:rsidRDefault="000143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FF" w:rsidRDefault="000143DE" w:rsidP="009628E3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Appendix 3</w:t>
    </w:r>
    <w:r w:rsidR="005E17FF">
      <w:rPr>
        <w:rFonts w:ascii="Arial" w:hAnsi="Arial" w:cs="Arial"/>
        <w:b/>
        <w:sz w:val="36"/>
        <w:szCs w:val="36"/>
      </w:rPr>
      <w:t>: NHS Tayside HCV Treatment Guidelines</w:t>
    </w:r>
  </w:p>
  <w:p w:rsidR="005E17FF" w:rsidRPr="009628E3" w:rsidRDefault="005E17FF" w:rsidP="009628E3">
    <w:pPr>
      <w:jc w:val="center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DE" w:rsidRDefault="000143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B13"/>
    <w:multiLevelType w:val="hybridMultilevel"/>
    <w:tmpl w:val="2892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A2F87"/>
    <w:multiLevelType w:val="hybridMultilevel"/>
    <w:tmpl w:val="5EB23B5C"/>
    <w:lvl w:ilvl="0" w:tplc="8F9E2F0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7D777C"/>
    <w:rsid w:val="000143DE"/>
    <w:rsid w:val="000154E3"/>
    <w:rsid w:val="0006545F"/>
    <w:rsid w:val="000B2807"/>
    <w:rsid w:val="000F67DC"/>
    <w:rsid w:val="00106A74"/>
    <w:rsid w:val="0019136B"/>
    <w:rsid w:val="0020259C"/>
    <w:rsid w:val="00207015"/>
    <w:rsid w:val="0021671D"/>
    <w:rsid w:val="00296EB9"/>
    <w:rsid w:val="002D53D6"/>
    <w:rsid w:val="002F2599"/>
    <w:rsid w:val="002F4198"/>
    <w:rsid w:val="003237A9"/>
    <w:rsid w:val="00360309"/>
    <w:rsid w:val="00376A5E"/>
    <w:rsid w:val="003903FC"/>
    <w:rsid w:val="00394BA4"/>
    <w:rsid w:val="003B76EE"/>
    <w:rsid w:val="003E29DC"/>
    <w:rsid w:val="0042486B"/>
    <w:rsid w:val="00442AD0"/>
    <w:rsid w:val="004B66F7"/>
    <w:rsid w:val="004C37C4"/>
    <w:rsid w:val="004D4367"/>
    <w:rsid w:val="004E5061"/>
    <w:rsid w:val="004F7379"/>
    <w:rsid w:val="00520251"/>
    <w:rsid w:val="0052404B"/>
    <w:rsid w:val="00580A6F"/>
    <w:rsid w:val="005E04B1"/>
    <w:rsid w:val="005E17FF"/>
    <w:rsid w:val="0065715F"/>
    <w:rsid w:val="006B3AA4"/>
    <w:rsid w:val="006F4DF9"/>
    <w:rsid w:val="006F55AF"/>
    <w:rsid w:val="00710BCD"/>
    <w:rsid w:val="007712A6"/>
    <w:rsid w:val="007D777C"/>
    <w:rsid w:val="007D77F2"/>
    <w:rsid w:val="00883B6E"/>
    <w:rsid w:val="00883D84"/>
    <w:rsid w:val="00884DF0"/>
    <w:rsid w:val="00905D24"/>
    <w:rsid w:val="00910D84"/>
    <w:rsid w:val="00931C9E"/>
    <w:rsid w:val="009628E3"/>
    <w:rsid w:val="00971056"/>
    <w:rsid w:val="009C6262"/>
    <w:rsid w:val="00A25B22"/>
    <w:rsid w:val="00A9396B"/>
    <w:rsid w:val="00AA03B0"/>
    <w:rsid w:val="00AD76AB"/>
    <w:rsid w:val="00B01E26"/>
    <w:rsid w:val="00B03184"/>
    <w:rsid w:val="00B11D89"/>
    <w:rsid w:val="00B2789D"/>
    <w:rsid w:val="00B4639C"/>
    <w:rsid w:val="00B52B3F"/>
    <w:rsid w:val="00B5550C"/>
    <w:rsid w:val="00B605FA"/>
    <w:rsid w:val="00BC41E0"/>
    <w:rsid w:val="00BE28DB"/>
    <w:rsid w:val="00BF000B"/>
    <w:rsid w:val="00C160BC"/>
    <w:rsid w:val="00C33E0A"/>
    <w:rsid w:val="00CA6074"/>
    <w:rsid w:val="00CC6D1F"/>
    <w:rsid w:val="00CC7B62"/>
    <w:rsid w:val="00CF1972"/>
    <w:rsid w:val="00D072C0"/>
    <w:rsid w:val="00D21AEF"/>
    <w:rsid w:val="00D6741D"/>
    <w:rsid w:val="00D85918"/>
    <w:rsid w:val="00DF5180"/>
    <w:rsid w:val="00E047DA"/>
    <w:rsid w:val="00E12431"/>
    <w:rsid w:val="00E2105A"/>
    <w:rsid w:val="00E43354"/>
    <w:rsid w:val="00EA5B44"/>
    <w:rsid w:val="00ED4C0B"/>
    <w:rsid w:val="00F20115"/>
    <w:rsid w:val="00F22616"/>
    <w:rsid w:val="00F67086"/>
    <w:rsid w:val="00F77270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19136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9DC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9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A6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0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A6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913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904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9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1309-FB22-4A81-A3C4-1CE4D404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jmtait</dc:creator>
  <cp:lastModifiedBy>dthain</cp:lastModifiedBy>
  <cp:revision>2</cp:revision>
  <cp:lastPrinted>2017-08-25T11:11:00Z</cp:lastPrinted>
  <dcterms:created xsi:type="dcterms:W3CDTF">2018-08-02T14:56:00Z</dcterms:created>
  <dcterms:modified xsi:type="dcterms:W3CDTF">2018-08-02T14:56:00Z</dcterms:modified>
</cp:coreProperties>
</file>